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EF" w:rsidRDefault="002149D3" w:rsidP="000678C8">
      <w:pPr>
        <w:pStyle w:val="Titre"/>
      </w:pPr>
      <w:r>
        <w:t>Ordonnance</w:t>
      </w:r>
      <w:r w:rsidR="000678C8">
        <w:t xml:space="preserve"> pour la surveillance biologique postopératoire </w:t>
      </w:r>
    </w:p>
    <w:p w:rsidR="00736FC5" w:rsidRPr="00736FC5" w:rsidRDefault="00736FC5" w:rsidP="00736FC5"/>
    <w:p w:rsidR="000678C8" w:rsidRPr="002149D3" w:rsidRDefault="002149D3" w:rsidP="00736FC5">
      <w:pPr>
        <w:pStyle w:val="Sous-titre"/>
        <w:rPr>
          <w:b/>
        </w:rPr>
      </w:pPr>
      <w:r w:rsidRPr="002149D3">
        <w:rPr>
          <w:b/>
        </w:rPr>
        <w:t>By</w:t>
      </w:r>
      <w:r w:rsidR="000678C8" w:rsidRPr="002149D3">
        <w:rPr>
          <w:b/>
        </w:rPr>
        <w:t>pass gastrique Roux-en-Y</w:t>
      </w:r>
    </w:p>
    <w:p w:rsidR="000678C8" w:rsidRDefault="000678C8" w:rsidP="000678C8">
      <w:r w:rsidRPr="000678C8">
        <w:rPr>
          <w:u w:val="single"/>
        </w:rPr>
        <w:t>Faire pratiquer en laboratoire au minimum 2 semaines avant la consultation avec le Médecin Nutritionniste ou le Chirurgie</w:t>
      </w:r>
      <w:r w:rsidR="0094461F">
        <w:rPr>
          <w:u w:val="single"/>
        </w:rPr>
        <w:t>n</w:t>
      </w:r>
      <w:r w:rsidRPr="000678C8">
        <w:rPr>
          <w:u w:val="single"/>
        </w:rPr>
        <w:t xml:space="preserve"> Viscéral (surveillance après chirurgie bariatrique)</w:t>
      </w:r>
      <w:r>
        <w:t xml:space="preserve"> :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NFS, plaquettes</w:t>
      </w:r>
    </w:p>
    <w:p w:rsidR="004B24CD" w:rsidRDefault="004B24CD" w:rsidP="004B24CD">
      <w:pPr>
        <w:pStyle w:val="Paragraphedeliste"/>
        <w:numPr>
          <w:ilvl w:val="0"/>
          <w:numId w:val="1"/>
        </w:numPr>
      </w:pPr>
      <w:r>
        <w:t>HbA1c, glycémie veineuse à jeun</w:t>
      </w:r>
    </w:p>
    <w:p w:rsidR="004B24CD" w:rsidRDefault="004B24CD" w:rsidP="004B24CD">
      <w:pPr>
        <w:pStyle w:val="Paragraphedeliste"/>
        <w:numPr>
          <w:ilvl w:val="0"/>
          <w:numId w:val="1"/>
        </w:numPr>
      </w:pPr>
      <w:r>
        <w:t>Explorations des anomalies lipidiques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Ionogramme sanguin, créatininémie, débit de filtration glomérulaire</w:t>
      </w:r>
      <w:r w:rsidR="002064A5">
        <w:t xml:space="preserve"> (CKD-EPI)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Calcémie, </w:t>
      </w:r>
      <w:proofErr w:type="spellStart"/>
      <w:r>
        <w:t>phosphorémie</w:t>
      </w:r>
      <w:proofErr w:type="spellEnd"/>
      <w:r>
        <w:t xml:space="preserve">, </w:t>
      </w:r>
      <w:proofErr w:type="spellStart"/>
      <w:r>
        <w:t>magnésémie</w:t>
      </w:r>
      <w:bookmarkStart w:id="0" w:name="_GoBack"/>
      <w:bookmarkEnd w:id="0"/>
      <w:proofErr w:type="spellEnd"/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Albuminémie 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25-OH-vitamine D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1-84 PTH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Folates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Vitamine B12 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proofErr w:type="spellStart"/>
      <w:r>
        <w:t>Ferritinémie</w:t>
      </w:r>
      <w:proofErr w:type="spellEnd"/>
      <w:r>
        <w:t>, coefficient de saturation de la transferrine (inflammation de bas grade)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CRP</w:t>
      </w:r>
    </w:p>
    <w:p w:rsidR="002149D3" w:rsidRDefault="000678C8" w:rsidP="002149D3">
      <w:pPr>
        <w:pStyle w:val="Paragraphedeliste"/>
        <w:numPr>
          <w:ilvl w:val="0"/>
          <w:numId w:val="1"/>
        </w:numPr>
      </w:pPr>
      <w:r>
        <w:t>Zinc plasmatique</w:t>
      </w:r>
      <w:r w:rsidR="002149D3" w:rsidRPr="002149D3">
        <w:t xml:space="preserve"> </w:t>
      </w:r>
    </w:p>
    <w:p w:rsidR="000678C8" w:rsidRDefault="002149D3" w:rsidP="002149D3">
      <w:pPr>
        <w:pStyle w:val="Paragraphedeliste"/>
        <w:numPr>
          <w:ilvl w:val="0"/>
          <w:numId w:val="1"/>
        </w:numPr>
      </w:pPr>
      <w:r>
        <w:t>Cuivre plasmatique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 xml:space="preserve">Vitamine A, </w:t>
      </w:r>
      <w:proofErr w:type="spellStart"/>
      <w:r>
        <w:t>Retinol</w:t>
      </w:r>
      <w:proofErr w:type="spellEnd"/>
      <w:r>
        <w:t xml:space="preserve"> Binding </w:t>
      </w:r>
      <w:proofErr w:type="spellStart"/>
      <w:r>
        <w:t>Protein</w:t>
      </w:r>
      <w:proofErr w:type="spellEnd"/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Vitamine E</w:t>
      </w:r>
    </w:p>
    <w:p w:rsidR="000678C8" w:rsidRDefault="000678C8" w:rsidP="000678C8">
      <w:pPr>
        <w:pStyle w:val="Paragraphedeliste"/>
        <w:numPr>
          <w:ilvl w:val="0"/>
          <w:numId w:val="1"/>
        </w:numPr>
      </w:pPr>
      <w:r>
        <w:t>Vitamine K</w:t>
      </w:r>
    </w:p>
    <w:p w:rsidR="000678C8" w:rsidRDefault="000678C8" w:rsidP="00B451DD">
      <w:pPr>
        <w:rPr>
          <w:i/>
        </w:rPr>
      </w:pPr>
      <w:r w:rsidRPr="000678C8">
        <w:rPr>
          <w:i/>
        </w:rPr>
        <w:t xml:space="preserve">Résultats à apporter le jour de la consultation. </w:t>
      </w:r>
    </w:p>
    <w:p w:rsidR="008F4CB3" w:rsidRPr="00B451DD" w:rsidRDefault="008F4CB3" w:rsidP="008F4CB3">
      <w:pPr>
        <w:pStyle w:val="Citationintense"/>
      </w:pPr>
    </w:p>
    <w:sectPr w:rsidR="008F4CB3" w:rsidRPr="00B45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34" w:rsidRDefault="00EB7234" w:rsidP="000678C8">
      <w:pPr>
        <w:spacing w:after="0" w:line="240" w:lineRule="auto"/>
      </w:pPr>
      <w:r>
        <w:separator/>
      </w:r>
    </w:p>
  </w:endnote>
  <w:endnote w:type="continuationSeparator" w:id="0">
    <w:p w:rsidR="00EB7234" w:rsidRDefault="00EB7234" w:rsidP="0006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78C8" w:rsidRDefault="000678C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78C8" w:rsidRDefault="00067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34" w:rsidRDefault="00EB7234" w:rsidP="000678C8">
      <w:pPr>
        <w:spacing w:after="0" w:line="240" w:lineRule="auto"/>
      </w:pPr>
      <w:r>
        <w:separator/>
      </w:r>
    </w:p>
  </w:footnote>
  <w:footnote w:type="continuationSeparator" w:id="0">
    <w:p w:rsidR="00EB7234" w:rsidRDefault="00EB7234" w:rsidP="0006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C8" w:rsidRDefault="000678C8">
    <w:pPr>
      <w:pStyle w:val="En-tte"/>
    </w:pPr>
    <w:r>
      <w:t>Ordonnances postopératoires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3DD7"/>
    <w:multiLevelType w:val="hybridMultilevel"/>
    <w:tmpl w:val="9648C85A"/>
    <w:lvl w:ilvl="0" w:tplc="5DF4B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5A"/>
    <w:rsid w:val="000678C8"/>
    <w:rsid w:val="002064A5"/>
    <w:rsid w:val="002149D3"/>
    <w:rsid w:val="004B24CD"/>
    <w:rsid w:val="004F495C"/>
    <w:rsid w:val="00580C5A"/>
    <w:rsid w:val="006E3950"/>
    <w:rsid w:val="00736FC5"/>
    <w:rsid w:val="00863FEF"/>
    <w:rsid w:val="0088390C"/>
    <w:rsid w:val="008F4CB3"/>
    <w:rsid w:val="0094461F"/>
    <w:rsid w:val="00A002F6"/>
    <w:rsid w:val="00B451DD"/>
    <w:rsid w:val="00B723B9"/>
    <w:rsid w:val="00D04F79"/>
    <w:rsid w:val="00D0746F"/>
    <w:rsid w:val="00E1081E"/>
    <w:rsid w:val="00E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412"/>
  <w15:chartTrackingRefBased/>
  <w15:docId w15:val="{438A214A-5979-4516-BB9E-7C13F91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C8"/>
  </w:style>
  <w:style w:type="paragraph" w:styleId="Pieddepage">
    <w:name w:val="footer"/>
    <w:basedOn w:val="Normal"/>
    <w:link w:val="PieddepageCar"/>
    <w:uiPriority w:val="99"/>
    <w:unhideWhenUsed/>
    <w:rsid w:val="0006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644</Characters>
  <Application>Microsoft Office Word</Application>
  <DocSecurity>0</DocSecurity>
  <Lines>5</Lines>
  <Paragraphs>1</Paragraphs>
  <ScaleCrop>false</ScaleCrop>
  <Company>APHP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11</cp:revision>
  <dcterms:created xsi:type="dcterms:W3CDTF">2024-11-12T12:40:00Z</dcterms:created>
  <dcterms:modified xsi:type="dcterms:W3CDTF">2024-11-18T16:31:00Z</dcterms:modified>
</cp:coreProperties>
</file>