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1B08" w14:textId="509C3879" w:rsidR="00863FEF" w:rsidRDefault="000B2A9A" w:rsidP="000B2A9A">
      <w:pPr>
        <w:pStyle w:val="Titre"/>
      </w:pPr>
      <w:r>
        <w:t>Examens complémentaires APRES chirurgie bariatrique</w:t>
      </w:r>
    </w:p>
    <w:p w14:paraId="7BA60212" w14:textId="1E8B0F9B" w:rsidR="000B2A9A" w:rsidRDefault="000B2A9A" w:rsidP="000B2A9A">
      <w:pPr>
        <w:pStyle w:val="Titre1"/>
      </w:pPr>
      <w:r>
        <w:t>Endoscopie oeso-gastro-duodenale (ASYMPTOMATIQUE)</w:t>
      </w:r>
    </w:p>
    <w:p w14:paraId="7F9DE7CE" w14:textId="77777777" w:rsidR="000B2A9A" w:rsidRDefault="000B2A9A" w:rsidP="000B2A9A">
      <w:pPr>
        <w:pStyle w:val="Paragraphedeliste"/>
        <w:numPr>
          <w:ilvl w:val="0"/>
          <w:numId w:val="1"/>
        </w:numPr>
      </w:pPr>
      <w:r>
        <w:t xml:space="preserve">Chez tout patient opérée d’une sleeve </w:t>
      </w:r>
      <w:proofErr w:type="spellStart"/>
      <w:r>
        <w:t>gastrectomy</w:t>
      </w:r>
      <w:proofErr w:type="spellEnd"/>
      <w:r>
        <w:t xml:space="preserve"> </w:t>
      </w:r>
    </w:p>
    <w:p w14:paraId="67D2D6D9" w14:textId="77777777" w:rsidR="000B2A9A" w:rsidRDefault="000B2A9A" w:rsidP="000B2A9A">
      <w:pPr>
        <w:pStyle w:val="Paragraphedeliste"/>
        <w:numPr>
          <w:ilvl w:val="1"/>
          <w:numId w:val="1"/>
        </w:numPr>
      </w:pPr>
      <w:r>
        <w:t>A 5 ans</w:t>
      </w:r>
    </w:p>
    <w:p w14:paraId="1E893D58" w14:textId="77777777" w:rsidR="000B2A9A" w:rsidRDefault="000B2A9A" w:rsidP="000B2A9A">
      <w:pPr>
        <w:pStyle w:val="Paragraphedeliste"/>
        <w:numPr>
          <w:ilvl w:val="1"/>
          <w:numId w:val="1"/>
        </w:numPr>
      </w:pPr>
      <w:r>
        <w:t>Puis à 10 ans</w:t>
      </w:r>
    </w:p>
    <w:p w14:paraId="12030BC6" w14:textId="77777777" w:rsidR="000B2A9A" w:rsidRDefault="000B2A9A" w:rsidP="000B2A9A">
      <w:pPr>
        <w:pStyle w:val="Paragraphedeliste"/>
        <w:numPr>
          <w:ilvl w:val="0"/>
          <w:numId w:val="1"/>
        </w:numPr>
      </w:pPr>
      <w:r>
        <w:t>Chez les patients présentant un EBO avant la chirurgie, suivant son extension (recommandations ESGE 2017)</w:t>
      </w:r>
    </w:p>
    <w:p w14:paraId="19E76441" w14:textId="77777777" w:rsidR="000B2A9A" w:rsidRDefault="000B2A9A" w:rsidP="000B2A9A">
      <w:pPr>
        <w:pStyle w:val="Paragraphedeliste"/>
        <w:numPr>
          <w:ilvl w:val="1"/>
          <w:numId w:val="1"/>
        </w:numPr>
      </w:pPr>
      <w:r>
        <w:t>&lt; 1 cm : pas de surveillance</w:t>
      </w:r>
    </w:p>
    <w:p w14:paraId="5CFDC35D" w14:textId="77777777" w:rsidR="000B2A9A" w:rsidRDefault="000B2A9A" w:rsidP="000B2A9A">
      <w:pPr>
        <w:pStyle w:val="Paragraphedeliste"/>
        <w:numPr>
          <w:ilvl w:val="1"/>
          <w:numId w:val="1"/>
        </w:numPr>
      </w:pPr>
      <w:r>
        <w:t>1-3 cm : tous les 5 ans</w:t>
      </w:r>
    </w:p>
    <w:p w14:paraId="0E3CB801" w14:textId="77777777" w:rsidR="000B2A9A" w:rsidRDefault="000B2A9A" w:rsidP="000B2A9A">
      <w:pPr>
        <w:pStyle w:val="Paragraphedeliste"/>
        <w:numPr>
          <w:ilvl w:val="1"/>
          <w:numId w:val="1"/>
        </w:numPr>
      </w:pPr>
      <w:r>
        <w:t>3-10 cm : tous les 3 ans</w:t>
      </w:r>
    </w:p>
    <w:p w14:paraId="4A6BC372" w14:textId="77777777" w:rsidR="000B2A9A" w:rsidRDefault="000B2A9A" w:rsidP="000B2A9A">
      <w:pPr>
        <w:pStyle w:val="Paragraphedeliste"/>
        <w:numPr>
          <w:ilvl w:val="1"/>
          <w:numId w:val="1"/>
        </w:numPr>
      </w:pPr>
      <w:r>
        <w:t>&gt; 10 cm : adressage à un centre expert</w:t>
      </w:r>
    </w:p>
    <w:p w14:paraId="0961A36C" w14:textId="5E2EF359" w:rsidR="000B2A9A" w:rsidRDefault="000B2A9A" w:rsidP="000B2A9A">
      <w:pPr>
        <w:pStyle w:val="Paragraphedeliste"/>
        <w:numPr>
          <w:ilvl w:val="1"/>
          <w:numId w:val="1"/>
        </w:numPr>
      </w:pPr>
      <w:r>
        <w:t>&gt; 75 ans : pas de suivi</w:t>
      </w:r>
    </w:p>
    <w:p w14:paraId="4A3A84E2" w14:textId="7F222CB4" w:rsidR="000B2A9A" w:rsidRDefault="000B2A9A" w:rsidP="000B2A9A">
      <w:pPr>
        <w:pStyle w:val="Titre1"/>
      </w:pPr>
      <w:r>
        <w:t>Transit oeso-gastro-duodenal</w:t>
      </w:r>
    </w:p>
    <w:p w14:paraId="065A246A" w14:textId="4D227EF3" w:rsidR="000B2A9A" w:rsidRDefault="000B2A9A" w:rsidP="00297D77">
      <w:pPr>
        <w:spacing w:after="0"/>
      </w:pPr>
      <w:r w:rsidRPr="00120A50">
        <w:rPr>
          <w:color w:val="FF0000"/>
        </w:rPr>
        <w:t>Le TOGD n’est plus systématique dans la surveillance postopératoire</w:t>
      </w:r>
      <w:r>
        <w:t>. Il n’est indiqué qu’en cas de point d’appel clinique (vomissements, blocage…)</w:t>
      </w:r>
      <w:r w:rsidR="00297D77">
        <w:t>.</w:t>
      </w:r>
    </w:p>
    <w:p w14:paraId="3B27C679" w14:textId="2C62EAC2" w:rsidR="000B2A9A" w:rsidRPr="000B2A9A" w:rsidRDefault="000B2A9A" w:rsidP="000B2A9A">
      <w:pPr>
        <w:rPr>
          <w:color w:val="FF0000"/>
        </w:rPr>
      </w:pPr>
      <w:r w:rsidRPr="000B2A9A">
        <w:rPr>
          <w:color w:val="FF0000"/>
        </w:rPr>
        <w:t xml:space="preserve">Contre-indication : grossesse. </w:t>
      </w:r>
    </w:p>
    <w:p w14:paraId="2809B3A3" w14:textId="6ACBD701" w:rsidR="000B2A9A" w:rsidRDefault="000B2A9A" w:rsidP="000B2A9A">
      <w:pPr>
        <w:pStyle w:val="Titre1"/>
      </w:pPr>
      <w:r>
        <w:t>Ostéodensitometrie</w:t>
      </w:r>
    </w:p>
    <w:p w14:paraId="29043A4D" w14:textId="0B6530FA" w:rsidR="000B2A9A" w:rsidRDefault="000B2A9A" w:rsidP="000B2A9A">
      <w:r>
        <w:t>A faire en systématique tous les 5 ans après une chirurgie avec malabsorption type BYPASS.</w:t>
      </w:r>
    </w:p>
    <w:p w14:paraId="4414A0AA" w14:textId="58652FCB" w:rsidR="000B2A9A" w:rsidRDefault="000B2A9A" w:rsidP="000B2A9A">
      <w:pPr>
        <w:pStyle w:val="Titre1"/>
      </w:pPr>
      <w:r>
        <w:t>Surveillance vitaminique systématique annuelle</w:t>
      </w:r>
    </w:p>
    <w:p w14:paraId="28FFF1DE" w14:textId="7B219789" w:rsidR="00297D77" w:rsidRDefault="00297D77" w:rsidP="000B2A9A">
      <w:pPr>
        <w:pStyle w:val="Titre2"/>
      </w:pPr>
      <w:r>
        <w:t>Rythme de surveillance</w:t>
      </w:r>
    </w:p>
    <w:p w14:paraId="5FC15CB0" w14:textId="77777777" w:rsidR="00297D77" w:rsidRDefault="00297D77" w:rsidP="00297D77">
      <w:pPr>
        <w:pStyle w:val="Paragraphedeliste"/>
        <w:numPr>
          <w:ilvl w:val="0"/>
          <w:numId w:val="3"/>
        </w:numPr>
      </w:pPr>
      <w:r>
        <w:t>La première année : tous les 4 mois</w:t>
      </w:r>
    </w:p>
    <w:p w14:paraId="52BF5110" w14:textId="36754D47" w:rsidR="00297D77" w:rsidRPr="00297D77" w:rsidRDefault="00297D77" w:rsidP="00297D77">
      <w:pPr>
        <w:pStyle w:val="Paragraphedeliste"/>
        <w:numPr>
          <w:ilvl w:val="0"/>
          <w:numId w:val="3"/>
        </w:numPr>
      </w:pPr>
      <w:r>
        <w:t>Puis, tous les 6 à 12 mois</w:t>
      </w:r>
    </w:p>
    <w:p w14:paraId="6F984778" w14:textId="0D55A0A1" w:rsidR="000B2A9A" w:rsidRDefault="000B2A9A" w:rsidP="000B2A9A">
      <w:pPr>
        <w:pStyle w:val="Titre2"/>
      </w:pPr>
      <w:r>
        <w:t>Quelques soit la technique</w:t>
      </w:r>
    </w:p>
    <w:p w14:paraId="29CE4340" w14:textId="77777777" w:rsidR="000B2A9A" w:rsidRDefault="000B2A9A" w:rsidP="000B2A9A">
      <w:pPr>
        <w:pStyle w:val="Paragraphedeliste"/>
        <w:numPr>
          <w:ilvl w:val="0"/>
          <w:numId w:val="2"/>
        </w:numPr>
      </w:pPr>
      <w:r>
        <w:t>NFS, plaquettes</w:t>
      </w:r>
    </w:p>
    <w:p w14:paraId="68F6A878" w14:textId="77777777" w:rsidR="000B2A9A" w:rsidRDefault="000B2A9A" w:rsidP="000B2A9A">
      <w:pPr>
        <w:pStyle w:val="Paragraphedeliste"/>
        <w:numPr>
          <w:ilvl w:val="0"/>
          <w:numId w:val="2"/>
        </w:numPr>
      </w:pPr>
      <w:r>
        <w:t>HbA1c, glycémie veineuse à jeun</w:t>
      </w:r>
    </w:p>
    <w:p w14:paraId="59A9E29A" w14:textId="77777777" w:rsidR="000B2A9A" w:rsidRDefault="000B2A9A" w:rsidP="000B2A9A">
      <w:pPr>
        <w:pStyle w:val="Paragraphedeliste"/>
        <w:numPr>
          <w:ilvl w:val="0"/>
          <w:numId w:val="2"/>
        </w:numPr>
      </w:pPr>
      <w:r>
        <w:t>Explorations des anomalies lipidiques</w:t>
      </w:r>
    </w:p>
    <w:p w14:paraId="65671412" w14:textId="77777777" w:rsidR="000B2A9A" w:rsidRDefault="000B2A9A" w:rsidP="000B2A9A">
      <w:pPr>
        <w:pStyle w:val="Paragraphedeliste"/>
        <w:numPr>
          <w:ilvl w:val="0"/>
          <w:numId w:val="2"/>
        </w:numPr>
      </w:pPr>
      <w:r>
        <w:t>Ionogramme sanguin, créatininémie, débit de filtration glomérulaire (CKD-EPI)</w:t>
      </w:r>
    </w:p>
    <w:p w14:paraId="3E79E67B" w14:textId="77777777" w:rsidR="000B2A9A" w:rsidRDefault="000B2A9A" w:rsidP="000B2A9A">
      <w:pPr>
        <w:pStyle w:val="Paragraphedeliste"/>
        <w:numPr>
          <w:ilvl w:val="0"/>
          <w:numId w:val="2"/>
        </w:numPr>
      </w:pPr>
      <w:r>
        <w:t xml:space="preserve">Calcémie, phosphorémie, </w:t>
      </w:r>
      <w:proofErr w:type="spellStart"/>
      <w:r>
        <w:t>magnésémie</w:t>
      </w:r>
      <w:proofErr w:type="spellEnd"/>
    </w:p>
    <w:p w14:paraId="658BE4C2" w14:textId="77777777" w:rsidR="000B2A9A" w:rsidRDefault="000B2A9A" w:rsidP="000B2A9A">
      <w:pPr>
        <w:pStyle w:val="Paragraphedeliste"/>
        <w:numPr>
          <w:ilvl w:val="0"/>
          <w:numId w:val="2"/>
        </w:numPr>
      </w:pPr>
      <w:r>
        <w:t xml:space="preserve">Albuminémie </w:t>
      </w:r>
    </w:p>
    <w:p w14:paraId="42D3CBC8" w14:textId="77777777" w:rsidR="000B2A9A" w:rsidRDefault="000B2A9A" w:rsidP="000B2A9A">
      <w:pPr>
        <w:pStyle w:val="Paragraphedeliste"/>
        <w:numPr>
          <w:ilvl w:val="0"/>
          <w:numId w:val="2"/>
        </w:numPr>
      </w:pPr>
      <w:r>
        <w:t>25-OH-vitamine D</w:t>
      </w:r>
    </w:p>
    <w:p w14:paraId="523D814F" w14:textId="77777777" w:rsidR="000B2A9A" w:rsidRDefault="000B2A9A" w:rsidP="000B2A9A">
      <w:pPr>
        <w:pStyle w:val="Paragraphedeliste"/>
        <w:numPr>
          <w:ilvl w:val="0"/>
          <w:numId w:val="2"/>
        </w:numPr>
      </w:pPr>
      <w:r>
        <w:t>1-84 PTH</w:t>
      </w:r>
    </w:p>
    <w:p w14:paraId="1C96A2BF" w14:textId="77777777" w:rsidR="000B2A9A" w:rsidRDefault="000B2A9A" w:rsidP="000B2A9A">
      <w:pPr>
        <w:pStyle w:val="Paragraphedeliste"/>
        <w:numPr>
          <w:ilvl w:val="0"/>
          <w:numId w:val="2"/>
        </w:numPr>
      </w:pPr>
      <w:r>
        <w:t>Folates</w:t>
      </w:r>
    </w:p>
    <w:p w14:paraId="59EE3434" w14:textId="77777777" w:rsidR="000B2A9A" w:rsidRDefault="000B2A9A" w:rsidP="000B2A9A">
      <w:pPr>
        <w:pStyle w:val="Paragraphedeliste"/>
        <w:numPr>
          <w:ilvl w:val="0"/>
          <w:numId w:val="2"/>
        </w:numPr>
      </w:pPr>
      <w:r>
        <w:t xml:space="preserve">Vitamine B12 </w:t>
      </w:r>
    </w:p>
    <w:p w14:paraId="22559F49" w14:textId="77777777" w:rsidR="000B2A9A" w:rsidRDefault="000B2A9A" w:rsidP="000B2A9A">
      <w:pPr>
        <w:pStyle w:val="Paragraphedeliste"/>
        <w:numPr>
          <w:ilvl w:val="0"/>
          <w:numId w:val="2"/>
        </w:numPr>
      </w:pPr>
      <w:r>
        <w:t xml:space="preserve">Ferritinémie, coefficient de saturation de la transferrine </w:t>
      </w:r>
    </w:p>
    <w:p w14:paraId="49CC78AE" w14:textId="77777777" w:rsidR="000B2A9A" w:rsidRDefault="000B2A9A" w:rsidP="000B2A9A">
      <w:pPr>
        <w:pStyle w:val="Paragraphedeliste"/>
        <w:numPr>
          <w:ilvl w:val="0"/>
          <w:numId w:val="2"/>
        </w:numPr>
      </w:pPr>
      <w:r>
        <w:t>Zinc plasmatique</w:t>
      </w:r>
    </w:p>
    <w:p w14:paraId="14496CA1" w14:textId="2CB68BB4" w:rsidR="000B2A9A" w:rsidRDefault="000B2A9A" w:rsidP="000B2A9A">
      <w:pPr>
        <w:pStyle w:val="Titre2"/>
      </w:pPr>
      <w:r>
        <w:t>A rajouter si bypass</w:t>
      </w:r>
    </w:p>
    <w:p w14:paraId="4064071F" w14:textId="77777777" w:rsidR="000B2A9A" w:rsidRDefault="000B2A9A" w:rsidP="000B2A9A">
      <w:pPr>
        <w:pStyle w:val="Paragraphedeliste"/>
        <w:numPr>
          <w:ilvl w:val="0"/>
          <w:numId w:val="2"/>
        </w:numPr>
      </w:pPr>
      <w:r>
        <w:t>Cuivre plasmatique</w:t>
      </w:r>
    </w:p>
    <w:p w14:paraId="587201C8" w14:textId="77777777" w:rsidR="000B2A9A" w:rsidRDefault="000B2A9A" w:rsidP="000B2A9A">
      <w:pPr>
        <w:pStyle w:val="Paragraphedeliste"/>
        <w:numPr>
          <w:ilvl w:val="0"/>
          <w:numId w:val="2"/>
        </w:numPr>
      </w:pPr>
      <w:r>
        <w:t xml:space="preserve">Vitamine A, </w:t>
      </w:r>
      <w:proofErr w:type="spellStart"/>
      <w:r>
        <w:t>Retinol</w:t>
      </w:r>
      <w:proofErr w:type="spellEnd"/>
      <w:r>
        <w:t xml:space="preserve"> Binding </w:t>
      </w:r>
      <w:proofErr w:type="spellStart"/>
      <w:r>
        <w:t>Protein</w:t>
      </w:r>
      <w:proofErr w:type="spellEnd"/>
    </w:p>
    <w:p w14:paraId="28BB4779" w14:textId="77777777" w:rsidR="000B2A9A" w:rsidRDefault="000B2A9A" w:rsidP="000B2A9A">
      <w:pPr>
        <w:pStyle w:val="Paragraphedeliste"/>
        <w:numPr>
          <w:ilvl w:val="0"/>
          <w:numId w:val="2"/>
        </w:numPr>
      </w:pPr>
      <w:r>
        <w:t>Vitamine E</w:t>
      </w:r>
    </w:p>
    <w:p w14:paraId="721A5659" w14:textId="7EE75B5B" w:rsidR="000B2A9A" w:rsidRPr="000B2A9A" w:rsidRDefault="000B2A9A" w:rsidP="000B2A9A">
      <w:pPr>
        <w:pStyle w:val="Paragraphedeliste"/>
        <w:numPr>
          <w:ilvl w:val="0"/>
          <w:numId w:val="2"/>
        </w:numPr>
      </w:pPr>
      <w:r>
        <w:t>Vitamine K</w:t>
      </w:r>
    </w:p>
    <w:sectPr w:rsidR="000B2A9A" w:rsidRPr="000B2A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CD38" w14:textId="77777777" w:rsidR="006B6BB2" w:rsidRDefault="006B6BB2" w:rsidP="000B2A9A">
      <w:pPr>
        <w:spacing w:after="0" w:line="240" w:lineRule="auto"/>
      </w:pPr>
      <w:r>
        <w:separator/>
      </w:r>
    </w:p>
  </w:endnote>
  <w:endnote w:type="continuationSeparator" w:id="0">
    <w:p w14:paraId="7EF892B7" w14:textId="77777777" w:rsidR="006B6BB2" w:rsidRDefault="006B6BB2" w:rsidP="000B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1427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0EDFD8" w14:textId="588DBE39" w:rsidR="000B2A9A" w:rsidRDefault="000B2A9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EBAAEF" w14:textId="77777777" w:rsidR="000B2A9A" w:rsidRDefault="000B2A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00AFB" w14:textId="77777777" w:rsidR="006B6BB2" w:rsidRDefault="006B6BB2" w:rsidP="000B2A9A">
      <w:pPr>
        <w:spacing w:after="0" w:line="240" w:lineRule="auto"/>
      </w:pPr>
      <w:r>
        <w:separator/>
      </w:r>
    </w:p>
  </w:footnote>
  <w:footnote w:type="continuationSeparator" w:id="0">
    <w:p w14:paraId="61DC3592" w14:textId="77777777" w:rsidR="006B6BB2" w:rsidRDefault="006B6BB2" w:rsidP="000B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19AE" w14:textId="77777777" w:rsidR="000B2A9A" w:rsidRDefault="000B2A9A" w:rsidP="000B2A9A">
    <w:pPr>
      <w:pStyle w:val="En-tte"/>
    </w:pPr>
    <w:r>
      <w:t>Ordonnances postopératoires</w:t>
    </w:r>
    <w:r>
      <w:ptab w:relativeTo="margin" w:alignment="center" w:leader="none"/>
    </w:r>
    <w:r>
      <w:t>HDS fin de parcours</w:t>
    </w:r>
    <w:r>
      <w:ptab w:relativeTo="margin" w:alignment="right" w:leader="none"/>
    </w:r>
    <w:r>
      <w:t>Recommandations HAS 2024</w:t>
    </w:r>
  </w:p>
  <w:p w14:paraId="2B4EB2C8" w14:textId="4D0D6AC6" w:rsidR="000B2A9A" w:rsidRPr="000B2A9A" w:rsidRDefault="000B2A9A" w:rsidP="000B2A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E3DD7"/>
    <w:multiLevelType w:val="hybridMultilevel"/>
    <w:tmpl w:val="9648C85A"/>
    <w:lvl w:ilvl="0" w:tplc="5DF4BE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97E8E"/>
    <w:multiLevelType w:val="hybridMultilevel"/>
    <w:tmpl w:val="3354A2A2"/>
    <w:lvl w:ilvl="0" w:tplc="AB5451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54"/>
    <w:rsid w:val="000B2A9A"/>
    <w:rsid w:val="00297D77"/>
    <w:rsid w:val="006B6BB2"/>
    <w:rsid w:val="00863FEF"/>
    <w:rsid w:val="00A002F6"/>
    <w:rsid w:val="00AE2A18"/>
    <w:rsid w:val="00C6772E"/>
    <w:rsid w:val="00E0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CEF6"/>
  <w15:chartTrackingRefBased/>
  <w15:docId w15:val="{AF7EA88A-912C-4891-BE26-29589F1F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F6"/>
  </w:style>
  <w:style w:type="paragraph" w:styleId="Titre1">
    <w:name w:val="heading 1"/>
    <w:basedOn w:val="Normal"/>
    <w:next w:val="Normal"/>
    <w:link w:val="Titre1Car"/>
    <w:uiPriority w:val="9"/>
    <w:qFormat/>
    <w:rsid w:val="00A002F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02F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02F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02F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02F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02F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02F6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02F6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02F6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02F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002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002F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002F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002F6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A002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A002F6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A002F6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A002F6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002F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002F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002F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02F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002F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002F6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A002F6"/>
    <w:rPr>
      <w:i/>
      <w:iCs/>
      <w:color w:val="auto"/>
    </w:rPr>
  </w:style>
  <w:style w:type="paragraph" w:styleId="Sansinterligne">
    <w:name w:val="No Spacing"/>
    <w:uiPriority w:val="1"/>
    <w:qFormat/>
    <w:rsid w:val="00A002F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002F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002F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002F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02F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02F6"/>
    <w:rPr>
      <w:rFonts w:asciiTheme="majorHAnsi" w:eastAsiaTheme="majorEastAsia" w:hAnsiTheme="majorHAnsi" w:cstheme="majorBidi"/>
      <w:sz w:val="26"/>
      <w:szCs w:val="26"/>
    </w:rPr>
  </w:style>
  <w:style w:type="character" w:styleId="Accentuationlgre">
    <w:name w:val="Subtle Emphasis"/>
    <w:basedOn w:val="Policepardfaut"/>
    <w:uiPriority w:val="19"/>
    <w:qFormat/>
    <w:rsid w:val="00A002F6"/>
    <w:rPr>
      <w:i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A002F6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A002F6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002F6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A002F6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002F6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B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A9A"/>
  </w:style>
  <w:style w:type="paragraph" w:styleId="Pieddepage">
    <w:name w:val="footer"/>
    <w:basedOn w:val="Normal"/>
    <w:link w:val="PieddepageCar"/>
    <w:uiPriority w:val="99"/>
    <w:unhideWhenUsed/>
    <w:rsid w:val="000B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A9A"/>
  </w:style>
  <w:style w:type="character" w:styleId="Marquedecommentaire">
    <w:name w:val="annotation reference"/>
    <w:basedOn w:val="Policepardfaut"/>
    <w:uiPriority w:val="99"/>
    <w:semiHidden/>
    <w:unhideWhenUsed/>
    <w:rsid w:val="000B2A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2A9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2A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MUZZOLINI Benoit</dc:creator>
  <cp:keywords/>
  <dc:description/>
  <cp:lastModifiedBy>MUZZOLINI Benoit</cp:lastModifiedBy>
  <cp:revision>3</cp:revision>
  <dcterms:created xsi:type="dcterms:W3CDTF">2025-01-14T10:14:00Z</dcterms:created>
  <dcterms:modified xsi:type="dcterms:W3CDTF">2025-01-14T10:50:00Z</dcterms:modified>
</cp:coreProperties>
</file>